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B4" w:rsidRDefault="007779B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6B309F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A96210" w:rsidRPr="0058402B" w:rsidRDefault="009E6A66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86181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6181F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86181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36</w:t>
      </w:r>
      <w:r w:rsidR="00A96210">
        <w:rPr>
          <w:rFonts w:ascii="Arial" w:hAnsi="Arial" w:cs="Arial"/>
          <w:b/>
          <w:sz w:val="32"/>
          <w:szCs w:val="32"/>
        </w:rPr>
        <w:t>-</w:t>
      </w:r>
      <w:r w:rsidR="00045F5F">
        <w:rPr>
          <w:rFonts w:ascii="Arial" w:hAnsi="Arial" w:cs="Arial"/>
          <w:b/>
          <w:sz w:val="32"/>
          <w:szCs w:val="32"/>
        </w:rPr>
        <w:t>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6181F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  <w:r w:rsidR="00E02CFB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«</w:t>
      </w:r>
      <w:r w:rsidR="00045F5F">
        <w:rPr>
          <w:rFonts w:ascii="Arial" w:hAnsi="Arial" w:cs="Arial"/>
          <w:b/>
          <w:spacing w:val="20"/>
          <w:sz w:val="32"/>
          <w:szCs w:val="32"/>
        </w:rPr>
        <w:t>НЕЛЬХАЙ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 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A21F2" w:rsidRPr="00DA21F2" w:rsidRDefault="00DA21F2" w:rsidP="00DA21F2">
      <w:pPr>
        <w:widowControl w:val="0"/>
        <w:spacing w:after="240" w:line="254" w:lineRule="auto"/>
        <w:jc w:val="center"/>
        <w:rPr>
          <w:rFonts w:ascii="Arial" w:eastAsia="Arial" w:hAnsi="Arial" w:cs="Arial"/>
          <w:b/>
          <w:bCs/>
          <w:sz w:val="32"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>ОБ УТВЕРЖДЕНИИ ПЕРЕЧНЯ МЕСТ, НА КОТОРЫЕ</w:t>
      </w:r>
      <w:r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 xml:space="preserve"> </w:t>
      </w:r>
      <w:r w:rsidRPr="00DA21F2"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>ЗАПРЕЩАЕТСЯ</w:t>
      </w:r>
      <w:r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 xml:space="preserve"> </w:t>
      </w:r>
      <w:r w:rsidRPr="00DA21F2"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>ВОЗВРАЩАТЬ ЖИВОТНЫХ БЕЗ ВЛАДЕЛЬЦЕВ, И ПЕРЕЧНЯ ЛИЦ,</w:t>
      </w:r>
      <w:r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 xml:space="preserve"> </w:t>
      </w:r>
      <w:r w:rsidRPr="00DA21F2"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>УПОЛНОМОЧЕННЫХ НА ПРИНЯТИЕ РЕШЕНИЙ О ВОЗВРАТЕ</w:t>
      </w:r>
      <w:r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 xml:space="preserve"> </w:t>
      </w:r>
      <w:r w:rsidRPr="00DA21F2">
        <w:rPr>
          <w:rFonts w:ascii="Arial" w:eastAsia="Arial" w:hAnsi="Arial" w:cs="Arial"/>
          <w:b/>
          <w:bCs/>
          <w:color w:val="000000"/>
          <w:sz w:val="32"/>
          <w:szCs w:val="22"/>
          <w:lang w:bidi="ru-RU"/>
        </w:rPr>
        <w:t>ЖИВОТНЫХ БЕЗ ВЛАДЕЛЬЦЕВ НА ПРЕЖНИЕ МЕСТА ИХ ОБИТАНИЯ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450F4" w:rsidRPr="00246162" w:rsidRDefault="00DA21F2" w:rsidP="002450F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A21F2">
        <w:rPr>
          <w:rFonts w:ascii="Arial" w:hAnsi="Arial" w:cs="Arial"/>
          <w:sz w:val="24"/>
          <w:szCs w:val="28"/>
        </w:rPr>
        <w:t>В соответствии с частью 6.1 статьи 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Федерации",</w:t>
      </w:r>
      <w:r>
        <w:rPr>
          <w:rFonts w:ascii="Arial" w:hAnsi="Arial" w:cs="Arial"/>
          <w:sz w:val="24"/>
          <w:szCs w:val="28"/>
        </w:rPr>
        <w:t xml:space="preserve"> </w:t>
      </w:r>
      <w:r w:rsidR="002450F4" w:rsidRPr="00246162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045F5F">
        <w:rPr>
          <w:rFonts w:ascii="Arial" w:hAnsi="Arial" w:cs="Arial"/>
          <w:sz w:val="24"/>
          <w:szCs w:val="24"/>
        </w:rPr>
        <w:t>Нельхай</w:t>
      </w:r>
      <w:r w:rsidR="002450F4" w:rsidRPr="00246162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045F5F">
        <w:rPr>
          <w:rFonts w:ascii="Arial" w:hAnsi="Arial" w:cs="Arial"/>
          <w:sz w:val="24"/>
          <w:szCs w:val="24"/>
        </w:rPr>
        <w:t>Нельхай</w:t>
      </w:r>
      <w:r w:rsidR="002450F4" w:rsidRPr="00246162">
        <w:rPr>
          <w:rFonts w:ascii="Arial" w:hAnsi="Arial" w:cs="Arial"/>
          <w:sz w:val="24"/>
          <w:szCs w:val="24"/>
        </w:rPr>
        <w:t>»,</w:t>
      </w:r>
    </w:p>
    <w:p w:rsidR="00116197" w:rsidRPr="00107714" w:rsidRDefault="00116197" w:rsidP="002450F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DA21F2" w:rsidRPr="00DA21F2" w:rsidRDefault="005009E3" w:rsidP="00DA21F2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>1.</w:t>
      </w:r>
      <w:r w:rsidR="00DA21F2" w:rsidRPr="00DA21F2">
        <w:rPr>
          <w:rFonts w:ascii="Arial" w:hAnsi="Arial" w:cs="Arial"/>
        </w:rPr>
        <w:tab/>
        <w:t>Утвердить Перечень мест, на которые запрещается возвращать животн</w:t>
      </w:r>
      <w:r w:rsidR="00DA21F2">
        <w:rPr>
          <w:rFonts w:ascii="Arial" w:hAnsi="Arial" w:cs="Arial"/>
        </w:rPr>
        <w:t>ых без владельцев (приложение № 1);</w:t>
      </w:r>
    </w:p>
    <w:p w:rsidR="00DA21F2" w:rsidRPr="00DA21F2" w:rsidRDefault="00DA21F2" w:rsidP="00DA21F2">
      <w:pPr>
        <w:ind w:firstLine="709"/>
        <w:jc w:val="both"/>
        <w:rPr>
          <w:rFonts w:ascii="Arial" w:hAnsi="Arial" w:cs="Arial"/>
        </w:rPr>
      </w:pPr>
      <w:r w:rsidRPr="00DA21F2">
        <w:rPr>
          <w:rFonts w:ascii="Arial" w:hAnsi="Arial" w:cs="Arial"/>
        </w:rPr>
        <w:t>2.</w:t>
      </w:r>
      <w:r w:rsidRPr="00DA21F2">
        <w:rPr>
          <w:rFonts w:ascii="Arial" w:hAnsi="Arial" w:cs="Arial"/>
        </w:rPr>
        <w:tab/>
        <w:t>Утвердить Перечень лиц, уполномоченных на принятие решений о возврате животных без владельцев на прежние мес</w:t>
      </w:r>
      <w:r>
        <w:rPr>
          <w:rFonts w:ascii="Arial" w:hAnsi="Arial" w:cs="Arial"/>
        </w:rPr>
        <w:t>та их обитания (приложение № 2);</w:t>
      </w:r>
    </w:p>
    <w:p w:rsidR="00773241" w:rsidRDefault="00DA21F2" w:rsidP="00DA21F2">
      <w:pPr>
        <w:ind w:firstLine="709"/>
        <w:jc w:val="both"/>
        <w:rPr>
          <w:rFonts w:ascii="Arial" w:hAnsi="Arial" w:cs="Arial"/>
        </w:rPr>
      </w:pPr>
      <w:r w:rsidRPr="00DA21F2">
        <w:rPr>
          <w:rFonts w:ascii="Arial" w:hAnsi="Arial" w:cs="Arial"/>
        </w:rPr>
        <w:t>3.</w:t>
      </w:r>
      <w:r w:rsidRPr="00DA21F2">
        <w:rPr>
          <w:rFonts w:ascii="Arial" w:hAnsi="Arial" w:cs="Arial"/>
        </w:rPr>
        <w:tab/>
        <w:t>Опубликовать данное постановление в периодическом печатном издании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</w:t>
      </w:r>
      <w:r>
        <w:rPr>
          <w:rFonts w:ascii="Arial" w:hAnsi="Arial" w:cs="Arial"/>
        </w:rPr>
        <w:t>;</w:t>
      </w:r>
    </w:p>
    <w:p w:rsidR="007779B4" w:rsidRDefault="007779B4" w:rsidP="00DA2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779B4">
        <w:rPr>
          <w:rFonts w:ascii="Arial" w:hAnsi="Arial" w:cs="Arial"/>
        </w:rPr>
        <w:t>Постановление вступает в законную силу после его официального опубликования</w:t>
      </w:r>
    </w:p>
    <w:p w:rsidR="00DA21F2" w:rsidRDefault="007779B4" w:rsidP="00A40AA8">
      <w:pPr>
        <w:ind w:firstLine="709"/>
        <w:jc w:val="both"/>
        <w:rPr>
          <w:b/>
        </w:rPr>
      </w:pPr>
      <w:r>
        <w:rPr>
          <w:rFonts w:ascii="Arial" w:hAnsi="Arial" w:cs="Arial"/>
        </w:rPr>
        <w:t>5</w:t>
      </w:r>
      <w:r w:rsidR="00DA21F2">
        <w:rPr>
          <w:rFonts w:ascii="Arial" w:hAnsi="Arial" w:cs="Arial"/>
        </w:rPr>
        <w:t xml:space="preserve">.  </w:t>
      </w:r>
      <w:r w:rsidRPr="007779B4">
        <w:rPr>
          <w:rFonts w:ascii="Arial" w:hAnsi="Arial" w:cs="Arial"/>
        </w:rPr>
        <w:t>Контроль за выполнением настоящего постановления оставляю за собой</w:t>
      </w:r>
    </w:p>
    <w:p w:rsidR="007779B4" w:rsidRDefault="007779B4" w:rsidP="00A40AA8">
      <w:pPr>
        <w:ind w:firstLine="709"/>
        <w:jc w:val="both"/>
        <w:rPr>
          <w:b/>
        </w:rPr>
      </w:pPr>
    </w:p>
    <w:p w:rsidR="007779B4" w:rsidRDefault="007779B4" w:rsidP="00A40AA8">
      <w:pPr>
        <w:ind w:firstLine="709"/>
        <w:jc w:val="both"/>
        <w:rPr>
          <w:b/>
        </w:rPr>
      </w:pPr>
    </w:p>
    <w:p w:rsidR="007779B4" w:rsidRDefault="007779B4" w:rsidP="00A40AA8">
      <w:pPr>
        <w:ind w:firstLine="709"/>
        <w:jc w:val="both"/>
        <w:rPr>
          <w:b/>
        </w:rPr>
      </w:pPr>
    </w:p>
    <w:p w:rsidR="007779B4" w:rsidRPr="00E703A4" w:rsidRDefault="007779B4" w:rsidP="00A40AA8">
      <w:pPr>
        <w:ind w:firstLine="709"/>
        <w:jc w:val="both"/>
        <w:rPr>
          <w:b/>
        </w:rPr>
      </w:pPr>
    </w:p>
    <w:p w:rsidR="002450F4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2450F4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r w:rsidR="00045F5F">
        <w:rPr>
          <w:rFonts w:ascii="Arial" w:eastAsia="Times New Roman" w:hAnsi="Arial" w:cs="Arial"/>
          <w:sz w:val="24"/>
          <w:szCs w:val="24"/>
        </w:rPr>
        <w:t>Нельхай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2450F4" w:rsidRDefault="00045F5F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О.Н. Егорова</w:t>
      </w: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Default="00DA21F2" w:rsidP="00DA21F2">
      <w:pPr>
        <w:widowControl w:val="0"/>
        <w:tabs>
          <w:tab w:val="left" w:leader="underscore" w:pos="8429"/>
        </w:tabs>
        <w:ind w:left="2680" w:right="280"/>
        <w:jc w:val="right"/>
        <w:rPr>
          <w:color w:val="000000"/>
          <w:sz w:val="22"/>
          <w:szCs w:val="22"/>
          <w:lang w:bidi="ru-RU"/>
        </w:rPr>
      </w:pPr>
    </w:p>
    <w:p w:rsidR="00DA21F2" w:rsidRPr="00F31727" w:rsidRDefault="00DA21F2" w:rsidP="00DA21F2">
      <w:pPr>
        <w:widowControl w:val="0"/>
        <w:tabs>
          <w:tab w:val="left" w:leader="underscore" w:pos="8429"/>
        </w:tabs>
        <w:ind w:left="4536" w:right="280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Приложение</w:t>
      </w:r>
      <w:r w:rsidR="007779B4">
        <w:rPr>
          <w:rFonts w:ascii="Arial" w:hAnsi="Arial" w:cs="Arial"/>
          <w:color w:val="000000"/>
          <w:sz w:val="22"/>
          <w:szCs w:val="22"/>
          <w:lang w:bidi="ru-RU"/>
        </w:rPr>
        <w:t xml:space="preserve"> </w:t>
      </w:r>
      <w:r w:rsidRPr="00F31727">
        <w:rPr>
          <w:rFonts w:ascii="Arial" w:hAnsi="Arial" w:cs="Arial"/>
          <w:color w:val="000000"/>
          <w:sz w:val="22"/>
          <w:szCs w:val="22"/>
          <w:lang w:bidi="ru-RU"/>
        </w:rPr>
        <w:t>№</w:t>
      </w:r>
      <w:r w:rsidRPr="00DA21F2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 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 xml:space="preserve">1 к постановлению администрации муниципального </w:t>
      </w:r>
    </w:p>
    <w:p w:rsidR="00DA21F2" w:rsidRPr="00DA21F2" w:rsidRDefault="00DA21F2" w:rsidP="00DA21F2">
      <w:pPr>
        <w:widowControl w:val="0"/>
        <w:tabs>
          <w:tab w:val="left" w:leader="underscore" w:pos="8429"/>
        </w:tabs>
        <w:ind w:left="4536" w:right="280"/>
        <w:jc w:val="right"/>
        <w:rPr>
          <w:rFonts w:ascii="Arial" w:hAnsi="Arial" w:cs="Arial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образования "</w:t>
      </w:r>
      <w:r w:rsidRPr="00F31727">
        <w:rPr>
          <w:rFonts w:ascii="Arial" w:hAnsi="Arial" w:cs="Arial"/>
          <w:color w:val="000000"/>
          <w:sz w:val="22"/>
          <w:szCs w:val="22"/>
          <w:lang w:bidi="ru-RU"/>
        </w:rPr>
        <w:t>Нельхай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"</w:t>
      </w:r>
    </w:p>
    <w:p w:rsidR="00DA21F2" w:rsidRPr="00DA21F2" w:rsidRDefault="00DA21F2" w:rsidP="00DA21F2">
      <w:pPr>
        <w:widowControl w:val="0"/>
        <w:tabs>
          <w:tab w:val="left" w:leader="underscore" w:pos="853"/>
          <w:tab w:val="left" w:leader="underscore" w:pos="1969"/>
          <w:tab w:val="left" w:leader="underscore" w:pos="3985"/>
        </w:tabs>
        <w:spacing w:after="240"/>
        <w:ind w:right="280"/>
        <w:jc w:val="right"/>
        <w:rPr>
          <w:rFonts w:ascii="Arial" w:hAnsi="Arial" w:cs="Arial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от «</w:t>
      </w:r>
      <w:r w:rsidR="009E6A66">
        <w:rPr>
          <w:rFonts w:ascii="Arial" w:hAnsi="Arial" w:cs="Arial"/>
          <w:color w:val="000000"/>
          <w:sz w:val="22"/>
          <w:szCs w:val="22"/>
          <w:lang w:bidi="ru-RU"/>
        </w:rPr>
        <w:t>11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»</w:t>
      </w:r>
      <w:r w:rsidR="009E6A66">
        <w:rPr>
          <w:rFonts w:ascii="Arial" w:hAnsi="Arial" w:cs="Arial"/>
          <w:color w:val="000000"/>
          <w:sz w:val="22"/>
          <w:szCs w:val="22"/>
          <w:lang w:bidi="ru-RU"/>
        </w:rPr>
        <w:t xml:space="preserve"> октября 2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 xml:space="preserve">022 г. </w:t>
      </w:r>
      <w:r w:rsidR="007779B4">
        <w:rPr>
          <w:rFonts w:ascii="Arial" w:hAnsi="Arial" w:cs="Arial"/>
          <w:color w:val="000000"/>
          <w:sz w:val="22"/>
          <w:szCs w:val="22"/>
          <w:lang w:eastAsia="en-US" w:bidi="en-US"/>
        </w:rPr>
        <w:t>№</w:t>
      </w:r>
      <w:r w:rsidR="009E6A66">
        <w:rPr>
          <w:rFonts w:ascii="Arial" w:hAnsi="Arial" w:cs="Arial"/>
          <w:color w:val="000000"/>
          <w:sz w:val="22"/>
          <w:szCs w:val="22"/>
          <w:lang w:bidi="ru-RU"/>
        </w:rPr>
        <w:t>36-П</w:t>
      </w:r>
    </w:p>
    <w:p w:rsidR="00DA21F2" w:rsidRPr="00DA21F2" w:rsidRDefault="00DA21F2" w:rsidP="00DA21F2">
      <w:pPr>
        <w:widowControl w:val="0"/>
        <w:spacing w:after="240"/>
        <w:jc w:val="center"/>
        <w:rPr>
          <w:rFonts w:ascii="Arial" w:eastAsia="Arial" w:hAnsi="Arial" w:cs="Arial"/>
          <w:b/>
          <w:bCs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t>ПЕРЕЧЕНЬ</w:t>
      </w: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br/>
        <w:t>МЕСТ, НА КОТОРЫЕ ЗАПРЕЩАЕТСЯ ВОЗВРАЩАТЬ</w:t>
      </w: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br/>
        <w:t>ЖИВОТНЫХ БЕЗ ВЛАДЕЛЬЦЕВ</w:t>
      </w:r>
    </w:p>
    <w:p w:rsidR="00DA21F2" w:rsidRPr="00DA21F2" w:rsidRDefault="007779B4" w:rsidP="007779B4">
      <w:pPr>
        <w:widowControl w:val="0"/>
        <w:tabs>
          <w:tab w:val="left" w:pos="1041"/>
        </w:tabs>
        <w:spacing w:after="240"/>
        <w:ind w:left="78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территории учреждений социальной сферы;</w:t>
      </w:r>
    </w:p>
    <w:p w:rsidR="00DA21F2" w:rsidRPr="00DA21F2" w:rsidRDefault="007779B4" w:rsidP="007779B4">
      <w:pPr>
        <w:widowControl w:val="0"/>
        <w:tabs>
          <w:tab w:val="left" w:pos="1041"/>
        </w:tabs>
        <w:spacing w:after="240"/>
        <w:ind w:left="78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территории объектов здравоохранения;</w:t>
      </w:r>
    </w:p>
    <w:p w:rsidR="00DA21F2" w:rsidRPr="00DA21F2" w:rsidRDefault="007779B4" w:rsidP="007779B4">
      <w:pPr>
        <w:widowControl w:val="0"/>
        <w:tabs>
          <w:tab w:val="left" w:pos="1046"/>
        </w:tabs>
        <w:spacing w:after="240"/>
        <w:ind w:left="78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территории образовательных учреждений (школы, детские сады);</w:t>
      </w:r>
    </w:p>
    <w:p w:rsidR="00DA21F2" w:rsidRPr="00DA21F2" w:rsidRDefault="007779B4" w:rsidP="007779B4">
      <w:pPr>
        <w:widowControl w:val="0"/>
        <w:tabs>
          <w:tab w:val="left" w:pos="1102"/>
        </w:tabs>
        <w:spacing w:after="220" w:line="254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детские площадки;</w:t>
      </w:r>
    </w:p>
    <w:p w:rsidR="00DA21F2" w:rsidRPr="00DA21F2" w:rsidRDefault="007779B4" w:rsidP="007779B4">
      <w:pPr>
        <w:widowControl w:val="0"/>
        <w:tabs>
          <w:tab w:val="left" w:pos="1102"/>
        </w:tabs>
        <w:spacing w:after="220" w:line="254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общественные территории (сады, парки, скверы);</w:t>
      </w:r>
    </w:p>
    <w:p w:rsidR="00DA21F2" w:rsidRPr="00DA21F2" w:rsidRDefault="007779B4" w:rsidP="007779B4">
      <w:pPr>
        <w:widowControl w:val="0"/>
        <w:tabs>
          <w:tab w:val="left" w:pos="1102"/>
        </w:tabs>
        <w:spacing w:after="220" w:line="254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территории торгово-развлекательных центров;</w:t>
      </w:r>
    </w:p>
    <w:p w:rsidR="00DA21F2" w:rsidRPr="00DA21F2" w:rsidRDefault="007779B4" w:rsidP="007779B4">
      <w:pPr>
        <w:widowControl w:val="0"/>
        <w:tabs>
          <w:tab w:val="left" w:pos="1107"/>
        </w:tabs>
        <w:spacing w:after="220" w:line="254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территории розничных рынков;</w:t>
      </w: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7779B4" w:rsidRDefault="007779B4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7779B4" w:rsidRDefault="007779B4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F31727" w:rsidRDefault="00F31727" w:rsidP="00DA21F2">
      <w:pPr>
        <w:widowControl w:val="0"/>
        <w:ind w:right="260"/>
        <w:jc w:val="right"/>
        <w:rPr>
          <w:rFonts w:ascii="Arial" w:hAnsi="Arial" w:cs="Arial"/>
          <w:color w:val="000000"/>
          <w:szCs w:val="22"/>
          <w:lang w:bidi="ru-RU"/>
        </w:rPr>
      </w:pPr>
    </w:p>
    <w:p w:rsidR="00DA21F2" w:rsidRPr="00DA21F2" w:rsidRDefault="00DA21F2" w:rsidP="00DA21F2">
      <w:pPr>
        <w:widowControl w:val="0"/>
        <w:ind w:right="260"/>
        <w:jc w:val="right"/>
        <w:rPr>
          <w:rFonts w:ascii="Arial" w:hAnsi="Arial" w:cs="Arial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lastRenderedPageBreak/>
        <w:t xml:space="preserve">Приложение </w:t>
      </w:r>
      <w:r w:rsidR="007779B4">
        <w:rPr>
          <w:rFonts w:ascii="Arial" w:hAnsi="Arial" w:cs="Arial"/>
          <w:color w:val="000000"/>
          <w:sz w:val="22"/>
          <w:szCs w:val="22"/>
          <w:lang w:eastAsia="en-US" w:bidi="en-US"/>
        </w:rPr>
        <w:t>№</w:t>
      </w:r>
      <w:r w:rsidRPr="00DA21F2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 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2</w:t>
      </w:r>
    </w:p>
    <w:p w:rsidR="00DA21F2" w:rsidRPr="00DA21F2" w:rsidRDefault="00DA21F2" w:rsidP="00DA21F2">
      <w:pPr>
        <w:widowControl w:val="0"/>
        <w:tabs>
          <w:tab w:val="left" w:leader="underscore" w:pos="8566"/>
        </w:tabs>
        <w:spacing w:line="252" w:lineRule="auto"/>
        <w:ind w:left="2720" w:right="260"/>
        <w:jc w:val="right"/>
        <w:rPr>
          <w:rFonts w:ascii="Arial" w:hAnsi="Arial" w:cs="Arial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к постановлению администрации муниципального образования</w:t>
      </w:r>
      <w:r w:rsidR="00F31727">
        <w:rPr>
          <w:rFonts w:ascii="Arial" w:hAnsi="Arial" w:cs="Arial"/>
          <w:color w:val="000000"/>
          <w:sz w:val="22"/>
          <w:szCs w:val="22"/>
          <w:lang w:bidi="ru-RU"/>
        </w:rPr>
        <w:t xml:space="preserve"> 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"</w:t>
      </w:r>
      <w:r w:rsidR="00F31727">
        <w:rPr>
          <w:rFonts w:ascii="Arial" w:hAnsi="Arial" w:cs="Arial"/>
          <w:color w:val="000000"/>
          <w:sz w:val="22"/>
          <w:szCs w:val="22"/>
          <w:lang w:bidi="ru-RU"/>
        </w:rPr>
        <w:t>Нельхай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"</w:t>
      </w:r>
    </w:p>
    <w:p w:rsidR="009E6A66" w:rsidRPr="00DA21F2" w:rsidRDefault="009E6A66" w:rsidP="009E6A66">
      <w:pPr>
        <w:widowControl w:val="0"/>
        <w:tabs>
          <w:tab w:val="left" w:leader="underscore" w:pos="853"/>
          <w:tab w:val="left" w:leader="underscore" w:pos="1969"/>
          <w:tab w:val="left" w:leader="underscore" w:pos="3985"/>
        </w:tabs>
        <w:spacing w:after="240"/>
        <w:ind w:right="280"/>
        <w:jc w:val="right"/>
        <w:rPr>
          <w:rFonts w:ascii="Arial" w:hAnsi="Arial" w:cs="Arial"/>
          <w:sz w:val="22"/>
          <w:szCs w:val="22"/>
          <w:lang w:bidi="ru-RU"/>
        </w:rPr>
      </w:pP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от «</w:t>
      </w:r>
      <w:r>
        <w:rPr>
          <w:rFonts w:ascii="Arial" w:hAnsi="Arial" w:cs="Arial"/>
          <w:color w:val="000000"/>
          <w:sz w:val="22"/>
          <w:szCs w:val="22"/>
          <w:lang w:bidi="ru-RU"/>
        </w:rPr>
        <w:t>11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>»</w:t>
      </w: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 октября 2</w:t>
      </w:r>
      <w:r w:rsidRPr="00DA21F2">
        <w:rPr>
          <w:rFonts w:ascii="Arial" w:hAnsi="Arial" w:cs="Arial"/>
          <w:color w:val="000000"/>
          <w:sz w:val="22"/>
          <w:szCs w:val="22"/>
          <w:lang w:bidi="ru-RU"/>
        </w:rPr>
        <w:t xml:space="preserve">022 г. </w:t>
      </w:r>
      <w:r>
        <w:rPr>
          <w:rFonts w:ascii="Arial" w:hAnsi="Arial" w:cs="Arial"/>
          <w:color w:val="000000"/>
          <w:sz w:val="22"/>
          <w:szCs w:val="22"/>
          <w:lang w:eastAsia="en-US" w:bidi="en-US"/>
        </w:rPr>
        <w:t>№</w:t>
      </w:r>
      <w:r>
        <w:rPr>
          <w:rFonts w:ascii="Arial" w:hAnsi="Arial" w:cs="Arial"/>
          <w:color w:val="000000"/>
          <w:sz w:val="22"/>
          <w:szCs w:val="22"/>
          <w:lang w:bidi="ru-RU"/>
        </w:rPr>
        <w:t>36-П</w:t>
      </w:r>
    </w:p>
    <w:p w:rsidR="00DA21F2" w:rsidRPr="00DA21F2" w:rsidRDefault="00DA21F2" w:rsidP="00DA21F2">
      <w:pPr>
        <w:widowControl w:val="0"/>
        <w:jc w:val="center"/>
        <w:rPr>
          <w:rFonts w:ascii="Arial" w:eastAsia="Arial" w:hAnsi="Arial" w:cs="Arial"/>
          <w:b/>
          <w:bCs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t>ПЕРЕЧЕНЬ</w:t>
      </w:r>
    </w:p>
    <w:p w:rsidR="00DA21F2" w:rsidRPr="00DA21F2" w:rsidRDefault="00DA21F2" w:rsidP="00DA21F2">
      <w:pPr>
        <w:widowControl w:val="0"/>
        <w:jc w:val="center"/>
        <w:rPr>
          <w:rFonts w:ascii="Arial" w:eastAsia="Arial" w:hAnsi="Arial" w:cs="Arial"/>
          <w:b/>
          <w:bCs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t>ЛИЦ, УПОЛНОМОЧЕННЫХ НА ПРИНЯТИЕ РЕШЕНИЙ О ВОЗВРАТЕ</w:t>
      </w:r>
    </w:p>
    <w:p w:rsidR="00DA21F2" w:rsidRPr="00DA21F2" w:rsidRDefault="00DA21F2" w:rsidP="00DA21F2">
      <w:pPr>
        <w:widowControl w:val="0"/>
        <w:jc w:val="center"/>
        <w:rPr>
          <w:rFonts w:ascii="Arial" w:eastAsia="Arial" w:hAnsi="Arial" w:cs="Arial"/>
          <w:b/>
          <w:bCs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t>ЖИВОТНЫХ</w:t>
      </w:r>
    </w:p>
    <w:p w:rsidR="00DA21F2" w:rsidRPr="00DA21F2" w:rsidRDefault="00DA21F2" w:rsidP="00DA21F2">
      <w:pPr>
        <w:widowControl w:val="0"/>
        <w:spacing w:after="260"/>
        <w:jc w:val="center"/>
        <w:rPr>
          <w:rFonts w:ascii="Arial" w:eastAsia="Arial" w:hAnsi="Arial" w:cs="Arial"/>
          <w:b/>
          <w:bCs/>
          <w:szCs w:val="22"/>
          <w:lang w:bidi="ru-RU"/>
        </w:rPr>
      </w:pPr>
      <w:r w:rsidRPr="00DA21F2">
        <w:rPr>
          <w:rFonts w:ascii="Arial" w:eastAsia="Arial" w:hAnsi="Arial" w:cs="Arial"/>
          <w:b/>
          <w:bCs/>
          <w:color w:val="000000"/>
          <w:szCs w:val="22"/>
          <w:lang w:bidi="ru-RU"/>
        </w:rPr>
        <w:t>БЕЗ ВЛАДЕЛЬЦЕВ НА ПРЕЖНИЕ МЕСТА ИХ ОБИТАНИЯ</w:t>
      </w:r>
    </w:p>
    <w:p w:rsidR="00DA21F2" w:rsidRPr="00DA21F2" w:rsidRDefault="00F31727" w:rsidP="00F31727">
      <w:pPr>
        <w:widowControl w:val="0"/>
        <w:tabs>
          <w:tab w:val="left" w:pos="1102"/>
          <w:tab w:val="left" w:leader="underscore" w:pos="7022"/>
        </w:tabs>
        <w:spacing w:after="220" w:line="252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color w:val="000000"/>
          <w:szCs w:val="22"/>
          <w:lang w:bidi="ru-RU"/>
        </w:rPr>
        <w:t xml:space="preserve">- 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глава администрац</w:t>
      </w:r>
      <w:r>
        <w:rPr>
          <w:rFonts w:ascii="Arial" w:hAnsi="Arial" w:cs="Arial"/>
          <w:color w:val="000000"/>
          <w:szCs w:val="22"/>
          <w:lang w:bidi="ru-RU"/>
        </w:rPr>
        <w:t>ии муниципального образования "Нельхай</w:t>
      </w:r>
      <w:r w:rsidR="00DA21F2" w:rsidRPr="00DA21F2">
        <w:rPr>
          <w:rFonts w:ascii="Arial" w:hAnsi="Arial" w:cs="Arial"/>
          <w:color w:val="000000"/>
          <w:szCs w:val="22"/>
          <w:lang w:bidi="ru-RU"/>
        </w:rPr>
        <w:t>";</w:t>
      </w:r>
    </w:p>
    <w:p w:rsidR="00DA21F2" w:rsidRDefault="00F31727" w:rsidP="00F31727">
      <w:pPr>
        <w:widowControl w:val="0"/>
        <w:tabs>
          <w:tab w:val="left" w:pos="1102"/>
        </w:tabs>
        <w:spacing w:after="260" w:line="252" w:lineRule="auto"/>
        <w:ind w:left="840"/>
        <w:rPr>
          <w:rFonts w:ascii="Arial" w:hAnsi="Arial" w:cs="Arial"/>
          <w:iCs/>
          <w:color w:val="000000"/>
          <w:szCs w:val="22"/>
          <w:lang w:bidi="ru-RU"/>
        </w:rPr>
      </w:pPr>
      <w:r w:rsidRPr="00F31727">
        <w:rPr>
          <w:rFonts w:ascii="Arial" w:hAnsi="Arial" w:cs="Arial"/>
          <w:iCs/>
          <w:color w:val="000000"/>
          <w:szCs w:val="22"/>
          <w:lang w:bidi="ru-RU"/>
        </w:rPr>
        <w:t>- ведущий специалист</w:t>
      </w:r>
      <w:r w:rsidR="007779B4">
        <w:rPr>
          <w:rFonts w:ascii="Arial" w:hAnsi="Arial" w:cs="Arial"/>
          <w:iCs/>
          <w:color w:val="000000"/>
          <w:szCs w:val="22"/>
          <w:lang w:bidi="ru-RU"/>
        </w:rPr>
        <w:t>;</w:t>
      </w:r>
    </w:p>
    <w:p w:rsidR="007779B4" w:rsidRPr="00DA21F2" w:rsidRDefault="007779B4" w:rsidP="00F31727">
      <w:pPr>
        <w:widowControl w:val="0"/>
        <w:tabs>
          <w:tab w:val="left" w:pos="1102"/>
        </w:tabs>
        <w:spacing w:after="260" w:line="252" w:lineRule="auto"/>
        <w:ind w:left="840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iCs/>
          <w:color w:val="000000"/>
          <w:szCs w:val="22"/>
          <w:lang w:bidi="ru-RU"/>
        </w:rPr>
        <w:t>- специалист 1 категории.</w:t>
      </w:r>
    </w:p>
    <w:p w:rsidR="000161CC" w:rsidRPr="008C3608" w:rsidRDefault="000161CC" w:rsidP="00F31727">
      <w:pPr>
        <w:pStyle w:val="ConsPlusNormal"/>
        <w:widowControl/>
        <w:ind w:firstLine="0"/>
        <w:jc w:val="right"/>
      </w:pPr>
    </w:p>
    <w:sectPr w:rsidR="000161CC" w:rsidRPr="008C3608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630"/>
    <w:multiLevelType w:val="multilevel"/>
    <w:tmpl w:val="161A2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17643"/>
    <w:rsid w:val="00045F5F"/>
    <w:rsid w:val="000528AC"/>
    <w:rsid w:val="000733E3"/>
    <w:rsid w:val="000809DB"/>
    <w:rsid w:val="00107714"/>
    <w:rsid w:val="00116197"/>
    <w:rsid w:val="0012548B"/>
    <w:rsid w:val="00127A5E"/>
    <w:rsid w:val="001441FB"/>
    <w:rsid w:val="001646F6"/>
    <w:rsid w:val="001824B5"/>
    <w:rsid w:val="0019119A"/>
    <w:rsid w:val="001A25BC"/>
    <w:rsid w:val="001A34C9"/>
    <w:rsid w:val="001C1094"/>
    <w:rsid w:val="001D3016"/>
    <w:rsid w:val="00203270"/>
    <w:rsid w:val="00210EB3"/>
    <w:rsid w:val="002450F4"/>
    <w:rsid w:val="00260E69"/>
    <w:rsid w:val="0027025B"/>
    <w:rsid w:val="002705B6"/>
    <w:rsid w:val="00275FD7"/>
    <w:rsid w:val="00284F14"/>
    <w:rsid w:val="002A7E8D"/>
    <w:rsid w:val="002B2956"/>
    <w:rsid w:val="00311204"/>
    <w:rsid w:val="00333CBC"/>
    <w:rsid w:val="00336102"/>
    <w:rsid w:val="003B7EDF"/>
    <w:rsid w:val="003D6F5B"/>
    <w:rsid w:val="003F2635"/>
    <w:rsid w:val="003F3754"/>
    <w:rsid w:val="004040EE"/>
    <w:rsid w:val="004A0E91"/>
    <w:rsid w:val="004D7CE3"/>
    <w:rsid w:val="005009E3"/>
    <w:rsid w:val="00512716"/>
    <w:rsid w:val="00517A7A"/>
    <w:rsid w:val="0053329D"/>
    <w:rsid w:val="00544C5B"/>
    <w:rsid w:val="005477F5"/>
    <w:rsid w:val="00596964"/>
    <w:rsid w:val="005978C6"/>
    <w:rsid w:val="005B69A3"/>
    <w:rsid w:val="005F254A"/>
    <w:rsid w:val="005F6D00"/>
    <w:rsid w:val="006825C5"/>
    <w:rsid w:val="0069659D"/>
    <w:rsid w:val="006A3978"/>
    <w:rsid w:val="006A5609"/>
    <w:rsid w:val="006A7A1A"/>
    <w:rsid w:val="006B309F"/>
    <w:rsid w:val="006E25A7"/>
    <w:rsid w:val="0070074A"/>
    <w:rsid w:val="00721460"/>
    <w:rsid w:val="00773241"/>
    <w:rsid w:val="00777499"/>
    <w:rsid w:val="007779B4"/>
    <w:rsid w:val="0079369C"/>
    <w:rsid w:val="007A1CF2"/>
    <w:rsid w:val="007B2AA5"/>
    <w:rsid w:val="00833B58"/>
    <w:rsid w:val="00840CF2"/>
    <w:rsid w:val="008578E9"/>
    <w:rsid w:val="0086181F"/>
    <w:rsid w:val="00871ABE"/>
    <w:rsid w:val="008C3608"/>
    <w:rsid w:val="008F4A7F"/>
    <w:rsid w:val="008F6209"/>
    <w:rsid w:val="0092210B"/>
    <w:rsid w:val="00925712"/>
    <w:rsid w:val="00931AA0"/>
    <w:rsid w:val="0097706F"/>
    <w:rsid w:val="0098707F"/>
    <w:rsid w:val="009963FD"/>
    <w:rsid w:val="009968D9"/>
    <w:rsid w:val="009C0E6E"/>
    <w:rsid w:val="009E6A66"/>
    <w:rsid w:val="00A127AD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1771B"/>
    <w:rsid w:val="00B4262A"/>
    <w:rsid w:val="00B61E35"/>
    <w:rsid w:val="00B83DAB"/>
    <w:rsid w:val="00BB280C"/>
    <w:rsid w:val="00BC5083"/>
    <w:rsid w:val="00BD7F60"/>
    <w:rsid w:val="00BF19D8"/>
    <w:rsid w:val="00C670A8"/>
    <w:rsid w:val="00C8692C"/>
    <w:rsid w:val="00CA0E94"/>
    <w:rsid w:val="00CB042F"/>
    <w:rsid w:val="00CB6A6D"/>
    <w:rsid w:val="00D51443"/>
    <w:rsid w:val="00D70BE9"/>
    <w:rsid w:val="00D70FDA"/>
    <w:rsid w:val="00D82441"/>
    <w:rsid w:val="00DA21F2"/>
    <w:rsid w:val="00DA30C4"/>
    <w:rsid w:val="00DF3164"/>
    <w:rsid w:val="00E02CFB"/>
    <w:rsid w:val="00E15E6F"/>
    <w:rsid w:val="00E33308"/>
    <w:rsid w:val="00E37DB9"/>
    <w:rsid w:val="00E37E2A"/>
    <w:rsid w:val="00E616F1"/>
    <w:rsid w:val="00E703A4"/>
    <w:rsid w:val="00E93ADC"/>
    <w:rsid w:val="00EC2E84"/>
    <w:rsid w:val="00EE15DD"/>
    <w:rsid w:val="00EF64C4"/>
    <w:rsid w:val="00F31727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character" w:customStyle="1" w:styleId="a5">
    <w:name w:val="Основной текст_"/>
    <w:link w:val="1"/>
    <w:locked/>
    <w:rsid w:val="00E33308"/>
    <w:rPr>
      <w:rFonts w:ascii="Arial" w:hAnsi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33308"/>
    <w:pPr>
      <w:widowControl w:val="0"/>
      <w:shd w:val="clear" w:color="auto" w:fill="FFFFFF"/>
      <w:spacing w:after="300"/>
      <w:ind w:firstLine="400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07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73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C662-3EC2-47B9-BC57-BA94AEED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2022-09-01T01:10:00Z</cp:lastPrinted>
  <dcterms:created xsi:type="dcterms:W3CDTF">2022-08-29T07:06:00Z</dcterms:created>
  <dcterms:modified xsi:type="dcterms:W3CDTF">2022-10-13T04:12:00Z</dcterms:modified>
</cp:coreProperties>
</file>