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1"/>
        <w:ind w:left="0" w:right="0" w:firstLine="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12745" cy="618490"/>
                <wp:effectExtent l="0" t="0" r="0" b="0"/>
                <wp:docPr id="1" name="Pictur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912745" cy="618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29.35pt;height:48.7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pStyle w:val="621"/>
        <w:contextualSpacing/>
        <w:ind w:left="0" w:right="0" w:firstLine="0"/>
        <w:jc w:val="center"/>
        <w:spacing w:before="0" w:after="200" w:line="240" w:lineRule="auto"/>
        <w:rPr>
          <w:rFonts w:ascii="Tinos" w:hAnsi="Tinos" w:cs="Tinos"/>
          <w:b/>
          <w:bCs/>
          <w:sz w:val="32"/>
          <w:szCs w:val="32"/>
          <w:highlight w:val="none"/>
        </w:rPr>
      </w:pPr>
      <w:r>
        <w:rPr>
          <w:rFonts w:ascii="Times New Roman" w:hAnsi="Times New Roman" w:eastAsia="Tinos" w:cs="Tinos"/>
          <w:b/>
          <w:bCs/>
          <w:sz w:val="32"/>
          <w:szCs w:val="32"/>
        </w:rPr>
        <w:t xml:space="preserve">Филиал ППК «Роскадастр» по Иркутской области</w:t>
      </w:r>
      <w:r>
        <w:rPr>
          <w:rFonts w:ascii="Times New Roman" w:hAnsi="Times New Roman" w:eastAsia="Tinos" w:cs="Tinos"/>
          <w:b/>
          <w:bCs/>
          <w:sz w:val="32"/>
          <w:szCs w:val="32"/>
        </w:rPr>
        <w:t xml:space="preserve"> провел работы по исправлению реестровых ошибок в ЕГРН</w:t>
      </w:r>
      <w:r>
        <w:rPr>
          <w:rFonts w:ascii="Tinos" w:hAnsi="Tinos" w:cs="Tinos"/>
          <w:b/>
          <w:bCs/>
          <w:sz w:val="32"/>
          <w:szCs w:val="32"/>
          <w:highlight w:val="none"/>
        </w:rPr>
      </w:r>
    </w:p>
    <w:p>
      <w:pPr>
        <w:pStyle w:val="621"/>
        <w:contextualSpacing/>
        <w:ind w:left="0" w:right="0" w:firstLine="0"/>
        <w:spacing w:before="0" w:after="20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1"/>
        <w:contextualSpacing/>
        <w:ind w:left="0" w:right="0" w:firstLine="720"/>
        <w:jc w:val="both"/>
        <w:spacing w:before="0" w:after="20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Филиал ППК «Роскадастр» по Иркутской области за 10 месяцев текущего года исправил 830 реестровых ошибок в Едином государственном реестре недвижимости</w:t>
      </w:r>
      <w:r>
        <w:rPr>
          <w:rFonts w:ascii="Times New Roman" w:hAnsi="Times New Roman" w:eastAsia="Tinos" w:cs="Tinos"/>
          <w:sz w:val="28"/>
          <w:szCs w:val="28"/>
        </w:rPr>
        <w:t xml:space="preserve"> </w:t>
      </w:r>
      <w:r>
        <w:rPr>
          <w:rFonts w:ascii="Times New Roman" w:hAnsi="Times New Roman" w:eastAsia="Tinos" w:cs="Tinos"/>
          <w:sz w:val="28"/>
          <w:szCs w:val="28"/>
        </w:rPr>
        <w:t xml:space="preserve">(ЕГРН)</w:t>
      </w:r>
      <w:r>
        <w:rPr>
          <w:rFonts w:ascii="Times New Roman" w:hAnsi="Times New Roman" w:eastAsia="Tinos" w:cs="Tinos"/>
          <w:sz w:val="28"/>
          <w:szCs w:val="28"/>
        </w:rPr>
        <w:t xml:space="preserve">. За этой цифрой стоит не просто статистика, а реальная защита прав собственников и повышение качества данных о недвижимости региона.</w:t>
      </w:r>
      <w:r>
        <w:rPr>
          <w:rFonts w:ascii="Times New Roman" w:hAnsi="Times New Roman"/>
        </w:rPr>
      </w:r>
    </w:p>
    <w:p>
      <w:pPr>
        <w:pStyle w:val="621"/>
        <w:contextualSpacing/>
        <w:ind w:left="0" w:right="0" w:firstLine="720"/>
        <w:jc w:val="both"/>
        <w:spacing w:before="0" w:after="20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Реестровая ошибка </w:t>
      </w:r>
      <w:r>
        <w:rPr>
          <w:rFonts w:ascii="Times New Roman" w:hAnsi="Times New Roman" w:eastAsia="PT Astra Serif" w:cs="PT Astra Serif"/>
          <w:sz w:val="28"/>
          <w:szCs w:val="28"/>
        </w:rPr>
        <w:t xml:space="preserve">–</w:t>
      </w:r>
      <w:r>
        <w:rPr>
          <w:rFonts w:ascii="Times New Roman" w:hAnsi="Times New Roman" w:eastAsia="Tinos" w:cs="Tinos"/>
          <w:sz w:val="28"/>
          <w:szCs w:val="28"/>
        </w:rPr>
        <w:t xml:space="preserve"> это недостоверные сведения, которые были воспроизведены в ЕГРН из документов, представленных на кадастровый учет или регистрацию прав. Проще говоря, ошибка изначально содержалась в межевом или техническом плане</w:t>
      </w:r>
      <w:r>
        <w:rPr>
          <w:rFonts w:ascii="Times New Roman" w:hAnsi="Times New Roman" w:eastAsia="Tinos" w:cs="Tinos"/>
          <w:sz w:val="28"/>
          <w:szCs w:val="28"/>
        </w:rPr>
        <w:t xml:space="preserve">, акте обследования или другом документе, а затем «перешла» в государственный реестр. Чаще всего речь идет о неверно определенных границах земельного участка: например, участок частично накладывается на соседний или «съезжает» со своего фактического места.</w:t>
      </w:r>
      <w:r>
        <w:rPr>
          <w:rFonts w:ascii="Times New Roman" w:hAnsi="Times New Roman"/>
        </w:rPr>
      </w:r>
    </w:p>
    <w:p>
      <w:pPr>
        <w:pStyle w:val="621"/>
        <w:contextualSpacing/>
        <w:ind w:left="0" w:right="0" w:firstLine="720"/>
        <w:jc w:val="both"/>
        <w:spacing w:before="0" w:after="20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Наличие такой ошибки </w:t>
      </w:r>
      <w:r>
        <w:rPr>
          <w:rFonts w:ascii="Times New Roman" w:hAnsi="Times New Roman" w:eastAsia="PT Astra Serif" w:cs="PT Astra Serif"/>
          <w:sz w:val="28"/>
          <w:szCs w:val="28"/>
        </w:rPr>
        <w:t xml:space="preserve">–</w:t>
      </w:r>
      <w:r>
        <w:rPr>
          <w:rFonts w:ascii="Times New Roman" w:hAnsi="Times New Roman" w:eastAsia="Tinos" w:cs="Tinos"/>
          <w:sz w:val="28"/>
          <w:szCs w:val="28"/>
        </w:rPr>
        <w:t xml:space="preserve"> это не просто формальная неточность. Она может привести к вполне ощутимым проблемам:</w:t>
      </w:r>
      <w:r>
        <w:rPr>
          <w:rFonts w:ascii="Times New Roman" w:hAnsi="Times New Roman"/>
        </w:rPr>
      </w:r>
    </w:p>
    <w:p>
      <w:pPr>
        <w:pStyle w:val="621"/>
        <w:numPr>
          <w:ilvl w:val="0"/>
          <w:numId w:val="1"/>
        </w:numPr>
        <w:contextualSpacing/>
        <w:jc w:val="both"/>
        <w:spacing w:before="0" w:after="20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Споры с соседями. Наложение границ </w:t>
      </w:r>
      <w:r>
        <w:rPr>
          <w:rFonts w:ascii="Times New Roman" w:hAnsi="Times New Roman" w:eastAsia="PT Astra Serif" w:cs="PT Astra Serif"/>
          <w:sz w:val="28"/>
          <w:szCs w:val="28"/>
        </w:rPr>
        <w:t xml:space="preserve">–</w:t>
      </w:r>
      <w:r>
        <w:rPr>
          <w:rFonts w:ascii="Times New Roman" w:hAnsi="Times New Roman" w:eastAsia="Tinos" w:cs="Tinos"/>
          <w:sz w:val="28"/>
          <w:szCs w:val="28"/>
        </w:rPr>
        <w:t xml:space="preserve"> одна из самых частых причин земельных конфликтов, которые нередко доходят до суда.</w:t>
      </w:r>
      <w:r>
        <w:rPr>
          <w:rFonts w:ascii="Times New Roman" w:hAnsi="Times New Roman"/>
        </w:rPr>
      </w:r>
    </w:p>
    <w:p>
      <w:pPr>
        <w:pStyle w:val="621"/>
        <w:numPr>
          <w:ilvl w:val="0"/>
          <w:numId w:val="1"/>
        </w:numPr>
        <w:contextualSpacing/>
        <w:jc w:val="both"/>
        <w:spacing w:before="0" w:after="20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Блокировка сделок. Банки могут отказать в ипотеке, а покупатели </w:t>
      </w:r>
      <w:r>
        <w:rPr>
          <w:rFonts w:ascii="Times New Roman" w:hAnsi="Times New Roman" w:eastAsia="PT Astra Serif" w:cs="PT Astra Serif"/>
          <w:sz w:val="28"/>
          <w:szCs w:val="28"/>
        </w:rPr>
        <w:t xml:space="preserve">–</w:t>
      </w:r>
      <w:r>
        <w:rPr>
          <w:rFonts w:ascii="Times New Roman" w:hAnsi="Times New Roman" w:eastAsia="Tinos" w:cs="Tinos"/>
          <w:sz w:val="28"/>
          <w:szCs w:val="28"/>
        </w:rPr>
        <w:t xml:space="preserve"> усомниться в чистоте сделки, если данные о границах или площади объекта не совпадают с фактическими.</w:t>
      </w:r>
      <w:r>
        <w:rPr>
          <w:rFonts w:ascii="Times New Roman" w:hAnsi="Times New Roman"/>
        </w:rPr>
      </w:r>
    </w:p>
    <w:p>
      <w:pPr>
        <w:pStyle w:val="621"/>
        <w:numPr>
          <w:ilvl w:val="0"/>
          <w:numId w:val="1"/>
        </w:numPr>
        <w:contextualSpacing/>
        <w:jc w:val="both"/>
        <w:spacing w:before="0" w:after="20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Сложности с оформлением прав. Невозможно точно определить, где заканчивается ваш участок и начинается чужой, что затрудняет распоряжение недвижимостью.</w:t>
      </w:r>
      <w:r>
        <w:rPr>
          <w:rFonts w:ascii="Times New Roman" w:hAnsi="Times New Roman"/>
        </w:rPr>
      </w:r>
    </w:p>
    <w:p>
      <w:pPr>
        <w:pStyle w:val="621"/>
        <w:numPr>
          <w:ilvl w:val="0"/>
          <w:numId w:val="1"/>
        </w:numPr>
        <w:contextualSpacing/>
        <w:jc w:val="both"/>
        <w:spacing w:before="0" w:after="20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Риск для бизнеса. Для юридических лиц ошибки в ЕГРН могут обернуться проблемами при согласовании строительства или получении разрешений.</w:t>
      </w:r>
      <w:r>
        <w:rPr>
          <w:rFonts w:ascii="Times New Roman" w:hAnsi="Times New Roman"/>
        </w:rPr>
      </w:r>
    </w:p>
    <w:p>
      <w:pPr>
        <w:pStyle w:val="621"/>
        <w:contextualSpacing/>
        <w:ind w:left="0" w:right="0" w:firstLine="720"/>
        <w:jc w:val="both"/>
        <w:spacing w:before="0" w:after="20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i/>
          <w:iCs/>
          <w:sz w:val="28"/>
          <w:szCs w:val="28"/>
        </w:rPr>
        <w:t xml:space="preserve">«Точность данных ЕГРН </w:t>
      </w:r>
      <w:r>
        <w:rPr>
          <w:rFonts w:ascii="Times New Roman" w:hAnsi="Times New Roman" w:eastAsia="PT Astra Serif" w:cs="PT Astra Serif"/>
          <w:i/>
          <w:iCs/>
          <w:sz w:val="28"/>
          <w:szCs w:val="28"/>
        </w:rPr>
        <w:t xml:space="preserve">–</w:t>
      </w:r>
      <w:r>
        <w:rPr>
          <w:rFonts w:ascii="Times New Roman" w:hAnsi="Times New Roman" w:eastAsia="Tinos" w:cs="Tinos"/>
          <w:i/>
          <w:iCs/>
          <w:sz w:val="28"/>
          <w:szCs w:val="28"/>
        </w:rPr>
        <w:t xml:space="preserve"> это фундамент цивилизованного рынка недвижимости. Когда сведения о границах и характеристиках объектов достоверны, сни</w:t>
      </w:r>
      <w:r>
        <w:rPr>
          <w:rFonts w:ascii="Times New Roman" w:hAnsi="Times New Roman" w:eastAsia="Tinos" w:cs="Tinos"/>
          <w:i/>
          <w:iCs/>
          <w:sz w:val="28"/>
          <w:szCs w:val="28"/>
        </w:rPr>
        <w:t xml:space="preserve">жается количество судебных споров, упрощаются сделки и создается комфортная среда для инвестиций. Именно поэтому исправление реестровых ошибок является одной из ключевых задач государственной программы «Национальная система пространственных данных» (НСПД)»</w:t>
      </w:r>
      <w:r>
        <w:rPr>
          <w:rFonts w:ascii="Times New Roman" w:hAnsi="Times New Roman" w:eastAsia="Tinos" w:cs="Tinos"/>
          <w:sz w:val="28"/>
          <w:szCs w:val="28"/>
        </w:rPr>
        <w:t xml:space="preserve">, – отметила заместитель директора филиала ППК «Роскадастр» по Иркутской области </w:t>
      </w:r>
      <w:r>
        <w:rPr>
          <w:rFonts w:ascii="Times New Roman" w:hAnsi="Times New Roman" w:eastAsia="Tinos" w:cs="Tinos"/>
          <w:b/>
          <w:bCs/>
          <w:sz w:val="28"/>
          <w:szCs w:val="28"/>
        </w:rPr>
        <w:t xml:space="preserve">Евгения Бутакова.</w:t>
      </w:r>
      <w:r>
        <w:rPr>
          <w:rFonts w:ascii="Times New Roman" w:hAnsi="Times New Roman"/>
        </w:rPr>
      </w:r>
    </w:p>
    <w:p>
      <w:pPr>
        <w:pStyle w:val="621"/>
        <w:contextualSpacing/>
        <w:ind w:left="0" w:right="0" w:firstLine="720"/>
        <w:jc w:val="both"/>
        <w:spacing w:before="0" w:after="20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Работа по устранению реестровых ошибок в Иркутской области ведется в рамках НСПД. Ключевой момент: для граждан эти работы абсолютно бесплатны </w:t>
      </w:r>
      <w:r>
        <w:rPr>
          <w:rFonts w:ascii="Times New Roman" w:hAnsi="Times New Roman" w:eastAsia="PT Astra Serif" w:cs="PT Astra Serif"/>
          <w:i/>
          <w:iCs/>
          <w:sz w:val="28"/>
          <w:szCs w:val="28"/>
        </w:rPr>
        <w:t xml:space="preserve">–</w:t>
      </w:r>
      <w:r>
        <w:rPr>
          <w:rFonts w:ascii="Times New Roman" w:hAnsi="Times New Roman" w:eastAsia="Tinos" w:cs="Tinos"/>
          <w:sz w:val="28"/>
          <w:szCs w:val="28"/>
        </w:rPr>
        <w:t xml:space="preserve"> все расходы покрываются за счет средств федерального бюджета.</w:t>
      </w:r>
      <w:r>
        <w:rPr>
          <w:rFonts w:ascii="Times New Roman" w:hAnsi="Times New Roman"/>
        </w:rPr>
      </w:r>
    </w:p>
    <w:p>
      <w:pPr>
        <w:pStyle w:val="621"/>
        <w:contextualSpacing/>
        <w:ind w:left="0" w:right="0" w:firstLine="720"/>
        <w:jc w:val="both"/>
        <w:spacing w:before="0" w:after="200" w:line="240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sz w:val="28"/>
          <w:szCs w:val="28"/>
        </w:rPr>
        <w:t xml:space="preserve">Для жителей Приангарья 830 исправленных реестровых ошибок означа</w:t>
      </w:r>
      <w:r>
        <w:rPr>
          <w:rFonts w:ascii="Times New Roman" w:hAnsi="Times New Roman" w:eastAsia="Tinos" w:cs="Tinos"/>
          <w:sz w:val="28"/>
          <w:szCs w:val="28"/>
        </w:rPr>
        <w:t xml:space="preserve">ю</w:t>
      </w:r>
      <w:r>
        <w:rPr>
          <w:rFonts w:ascii="Times New Roman" w:hAnsi="Times New Roman" w:eastAsia="Tinos" w:cs="Tinos"/>
          <w:sz w:val="28"/>
          <w:szCs w:val="28"/>
        </w:rPr>
        <w:t xml:space="preserve">т более точные данные об их недвижимости, меньше поводов для споров и большую уверенность в правовой защищенности объектов.</w:t>
      </w:r>
      <w:r>
        <w:rPr>
          <w:rFonts w:ascii="Times New Roman" w:hAnsi="Times New Roman"/>
        </w:rPr>
      </w:r>
    </w:p>
    <w:p>
      <w:pPr>
        <w:pStyle w:val="621"/>
        <w:contextualSpacing/>
        <w:ind w:left="0" w:right="0" w:firstLine="0"/>
        <w:spacing w:before="0" w:after="200" w:line="240" w:lineRule="auto"/>
      </w:pPr>
      <w:r/>
      <w:r/>
    </w:p>
    <w:p>
      <w:pPr>
        <w:pStyle w:val="621"/>
        <w:contextualSpacing/>
        <w:spacing w:before="0" w:after="200" w:line="240" w:lineRule="auto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OpenSymbol">
    <w:panose1 w:val="05010000000000000000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◦"/>
      <w:lvlJc w:val="left"/>
      <w:pPr>
        <w:ind w:left="1080" w:hanging="360"/>
        <w:tabs>
          <w:tab w:val="num" w:pos="1080" w:leader="none"/>
        </w:tabs>
      </w:pPr>
      <w:rPr>
        <w:rFonts w:hint="default" w:ascii="OpenSymbol" w:hAnsi="OpenSymbol" w:cs="OpenSymbol"/>
      </w:rPr>
    </w:lvl>
    <w:lvl w:ilvl="2">
      <w:start w:val="1"/>
      <w:numFmt w:val="bullet"/>
      <w:isLgl w:val="false"/>
      <w:suff w:val="tab"/>
      <w:lvlText w:val="▪"/>
      <w:lvlJc w:val="left"/>
      <w:pPr>
        <w:ind w:left="1440" w:hanging="360"/>
        <w:tabs>
          <w:tab w:val="num" w:pos="1440" w:leader="none"/>
        </w:tabs>
      </w:pPr>
      <w:rPr>
        <w:rFonts w:hint="default" w:ascii="OpenSymbol" w:hAnsi="OpenSymbol" w:cs="OpenSymbol"/>
      </w:rPr>
    </w:lvl>
    <w:lvl w:ilvl="3">
      <w:start w:val="1"/>
      <w:numFmt w:val="bullet"/>
      <w:isLgl w:val="false"/>
      <w:suff w:val="tab"/>
      <w:lvlText w:val=""/>
      <w:lvlJc w:val="left"/>
      <w:pPr>
        <w:ind w:left="1800" w:hanging="360"/>
        <w:tabs>
          <w:tab w:val="num" w:pos="180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◦"/>
      <w:lvlJc w:val="left"/>
      <w:pPr>
        <w:ind w:left="2160" w:hanging="360"/>
        <w:tabs>
          <w:tab w:val="num" w:pos="2160" w:leader="none"/>
        </w:tabs>
      </w:pPr>
      <w:rPr>
        <w:rFonts w:hint="default" w:ascii="OpenSymbol" w:hAnsi="OpenSymbol" w:cs="OpenSymbol"/>
      </w:rPr>
    </w:lvl>
    <w:lvl w:ilvl="5">
      <w:start w:val="1"/>
      <w:numFmt w:val="bullet"/>
      <w:isLgl w:val="false"/>
      <w:suff w:val="tab"/>
      <w:lvlText w:val="▪"/>
      <w:lvlJc w:val="left"/>
      <w:pPr>
        <w:ind w:left="2520" w:hanging="360"/>
        <w:tabs>
          <w:tab w:val="num" w:pos="2520" w:leader="none"/>
        </w:tabs>
      </w:pPr>
      <w:rPr>
        <w:rFonts w:hint="default" w:ascii="OpenSymbol" w:hAnsi="OpenSymbol" w:cs="OpenSymbol"/>
      </w:rPr>
    </w:lvl>
    <w:lvl w:ilvl="6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◦"/>
      <w:lvlJc w:val="left"/>
      <w:pPr>
        <w:ind w:left="3240" w:hanging="360"/>
        <w:tabs>
          <w:tab w:val="num" w:pos="3240" w:leader="none"/>
        </w:tabs>
      </w:pPr>
      <w:rPr>
        <w:rFonts w:hint="default" w:ascii="OpenSymbol" w:hAnsi="OpenSymbol" w:cs="OpenSymbol"/>
      </w:rPr>
    </w:lvl>
    <w:lvl w:ilvl="8">
      <w:start w:val="1"/>
      <w:numFmt w:val="bullet"/>
      <w:isLgl w:val="false"/>
      <w:suff w:val="tab"/>
      <w:lvlText w:val="▪"/>
      <w:lvlJc w:val="left"/>
      <w:pPr>
        <w:ind w:left="3600" w:hanging="360"/>
        <w:tabs>
          <w:tab w:val="num" w:pos="3600" w:leader="none"/>
        </w:tabs>
      </w:pPr>
      <w:rPr>
        <w:rFonts w:hint="default" w:ascii="OpenSymbol" w:hAnsi="OpenSymbol" w:cs="OpenSymbol"/>
      </w:r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21" w:default="1">
    <w:name w:val="Normal"/>
    <w:qFormat/>
    <w:pPr>
      <w:jc w:val="left"/>
      <w:spacing w:before="0" w:beforeAutospacing="0" w:after="200" w:afterAutospacing="0" w:line="276" w:lineRule="auto"/>
      <w:widowControl/>
    </w:pPr>
    <w:rPr>
      <w:rFonts w:ascii="Arial" w:hAnsi="Arial" w:eastAsia="Arial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22">
    <w:name w:val="Heading 1"/>
    <w:basedOn w:val="621"/>
    <w:next w:val="621"/>
    <w:link w:val="63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23">
    <w:name w:val="Heading 2"/>
    <w:basedOn w:val="621"/>
    <w:next w:val="621"/>
    <w:link w:val="63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24">
    <w:name w:val="Heading 3"/>
    <w:basedOn w:val="621"/>
    <w:next w:val="621"/>
    <w:link w:val="63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25">
    <w:name w:val="Heading 4"/>
    <w:basedOn w:val="621"/>
    <w:next w:val="621"/>
    <w:link w:val="63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26">
    <w:name w:val="Heading 5"/>
    <w:basedOn w:val="621"/>
    <w:next w:val="621"/>
    <w:link w:val="63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27">
    <w:name w:val="Heading 6"/>
    <w:basedOn w:val="621"/>
    <w:next w:val="621"/>
    <w:link w:val="63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28">
    <w:name w:val="Heading 7"/>
    <w:basedOn w:val="621"/>
    <w:next w:val="621"/>
    <w:link w:val="63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29">
    <w:name w:val="Heading 8"/>
    <w:basedOn w:val="621"/>
    <w:next w:val="621"/>
    <w:link w:val="63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30">
    <w:name w:val="Heading 9"/>
    <w:basedOn w:val="621"/>
    <w:next w:val="621"/>
    <w:link w:val="63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3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632">
    <w:name w:val="Heading 2 Char"/>
    <w:uiPriority w:val="9"/>
    <w:qFormat/>
    <w:rPr>
      <w:rFonts w:ascii="Arial" w:hAnsi="Arial" w:eastAsia="Arial" w:cs="Arial"/>
      <w:sz w:val="34"/>
    </w:rPr>
  </w:style>
  <w:style w:type="character" w:styleId="633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634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35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36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37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38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39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40">
    <w:name w:val="Title Char"/>
    <w:uiPriority w:val="10"/>
    <w:qFormat/>
    <w:rPr>
      <w:sz w:val="48"/>
      <w:szCs w:val="48"/>
    </w:rPr>
  </w:style>
  <w:style w:type="character" w:styleId="641">
    <w:name w:val="Subtitle Char"/>
    <w:uiPriority w:val="11"/>
    <w:qFormat/>
    <w:rPr>
      <w:sz w:val="24"/>
      <w:szCs w:val="24"/>
    </w:rPr>
  </w:style>
  <w:style w:type="character" w:styleId="642">
    <w:name w:val="Quote Char"/>
    <w:link w:val="663"/>
    <w:uiPriority w:val="29"/>
    <w:qFormat/>
    <w:rPr>
      <w:i/>
    </w:rPr>
  </w:style>
  <w:style w:type="character" w:styleId="643">
    <w:name w:val="Intense Quote Char"/>
    <w:link w:val="664"/>
    <w:uiPriority w:val="30"/>
    <w:qFormat/>
    <w:rPr>
      <w:i/>
    </w:rPr>
  </w:style>
  <w:style w:type="character" w:styleId="644">
    <w:name w:val="Header Char"/>
    <w:uiPriority w:val="99"/>
    <w:qFormat/>
  </w:style>
  <w:style w:type="character" w:styleId="645">
    <w:name w:val="Footer Char"/>
    <w:uiPriority w:val="99"/>
    <w:qFormat/>
  </w:style>
  <w:style w:type="character" w:styleId="646">
    <w:name w:val="Caption Char"/>
    <w:uiPriority w:val="35"/>
    <w:qFormat/>
    <w:rPr>
      <w:b/>
      <w:bCs/>
      <w:color w:val="4f81bd" w:themeColor="accent1"/>
      <w:sz w:val="18"/>
      <w:szCs w:val="18"/>
    </w:rPr>
  </w:style>
  <w:style w:type="character" w:styleId="647">
    <w:name w:val="Hyperlink"/>
    <w:uiPriority w:val="99"/>
    <w:unhideWhenUsed/>
    <w:rPr>
      <w:color w:val="0000ff" w:themeColor="hyperlink"/>
      <w:u w:val="single"/>
    </w:rPr>
  </w:style>
  <w:style w:type="character" w:styleId="648">
    <w:name w:val="Footnote Text Char"/>
    <w:uiPriority w:val="99"/>
    <w:qFormat/>
    <w:rPr>
      <w:sz w:val="18"/>
    </w:rPr>
  </w:style>
  <w:style w:type="character" w:styleId="649">
    <w:name w:val="Символ сноски"/>
    <w:uiPriority w:val="99"/>
    <w:unhideWhenUsed/>
    <w:qFormat/>
    <w:rPr>
      <w:vertAlign w:val="superscript"/>
    </w:rPr>
  </w:style>
  <w:style w:type="character" w:styleId="650">
    <w:name w:val="footnote reference"/>
    <w:rPr>
      <w:vertAlign w:val="superscript"/>
    </w:rPr>
  </w:style>
  <w:style w:type="character" w:styleId="651">
    <w:name w:val="Endnote Text Char"/>
    <w:uiPriority w:val="99"/>
    <w:qFormat/>
    <w:rPr>
      <w:sz w:val="20"/>
    </w:rPr>
  </w:style>
  <w:style w:type="character" w:styleId="652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53">
    <w:name w:val="endnote reference"/>
    <w:rPr>
      <w:vertAlign w:val="superscript"/>
    </w:rPr>
  </w:style>
  <w:style w:type="character" w:styleId="654" w:default="1">
    <w:name w:val="Default Paragraph Font"/>
    <w:uiPriority w:val="1"/>
    <w:semiHidden/>
    <w:unhideWhenUsed/>
    <w:qFormat/>
  </w:style>
  <w:style w:type="character" w:styleId="655">
    <w:name w:val="Маркеры"/>
    <w:qFormat/>
    <w:rPr>
      <w:rFonts w:ascii="OpenSymbol" w:hAnsi="OpenSymbol" w:eastAsia="OpenSymbol" w:cs="OpenSymbol"/>
    </w:rPr>
  </w:style>
  <w:style w:type="paragraph" w:styleId="656">
    <w:name w:val="Заголовок"/>
    <w:basedOn w:val="621"/>
    <w:next w:val="657"/>
    <w:qFormat/>
    <w:pPr>
      <w:keepNext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657">
    <w:name w:val="Body Text"/>
    <w:basedOn w:val="621"/>
    <w:pPr>
      <w:spacing w:before="0" w:after="140" w:line="276" w:lineRule="auto"/>
    </w:pPr>
  </w:style>
  <w:style w:type="paragraph" w:styleId="658">
    <w:name w:val="List"/>
    <w:basedOn w:val="657"/>
    <w:rPr>
      <w:rFonts w:ascii="Times New Roman" w:hAnsi="Times New Roman" w:cs="Noto Sans Devanagari"/>
    </w:rPr>
  </w:style>
  <w:style w:type="paragraph" w:styleId="659">
    <w:name w:val="Caption"/>
    <w:basedOn w:val="621"/>
    <w:next w:val="621"/>
    <w:link w:val="6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660">
    <w:name w:val="Указатель"/>
    <w:basedOn w:val="621"/>
    <w:qFormat/>
    <w:pPr>
      <w:suppressLineNumbers/>
    </w:pPr>
    <w:rPr>
      <w:rFonts w:ascii="Times New Roman" w:hAnsi="Times New Roman" w:cs="Noto Sans Devanagari"/>
    </w:rPr>
  </w:style>
  <w:style w:type="paragraph" w:styleId="661">
    <w:name w:val="Title"/>
    <w:basedOn w:val="621"/>
    <w:next w:val="621"/>
    <w:link w:val="640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662">
    <w:name w:val="Subtitle"/>
    <w:basedOn w:val="621"/>
    <w:next w:val="621"/>
    <w:link w:val="641"/>
    <w:uiPriority w:val="11"/>
    <w:qFormat/>
    <w:pPr>
      <w:spacing w:before="200" w:after="200"/>
    </w:pPr>
    <w:rPr>
      <w:sz w:val="24"/>
      <w:szCs w:val="24"/>
    </w:rPr>
  </w:style>
  <w:style w:type="paragraph" w:styleId="663">
    <w:name w:val="Quote"/>
    <w:basedOn w:val="621"/>
    <w:next w:val="621"/>
    <w:link w:val="642"/>
    <w:uiPriority w:val="29"/>
    <w:qFormat/>
    <w:pPr>
      <w:ind w:left="720" w:right="720"/>
    </w:pPr>
    <w:rPr>
      <w:i/>
    </w:rPr>
  </w:style>
  <w:style w:type="paragraph" w:styleId="664">
    <w:name w:val="Intense Quote"/>
    <w:basedOn w:val="621"/>
    <w:next w:val="621"/>
    <w:link w:val="643"/>
    <w:uiPriority w:val="30"/>
    <w:qFormat/>
    <w:pPr>
      <w:ind w:left="720" w:right="720"/>
      <w:spacing w:before="0" w:after="20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665">
    <w:name w:val="Колонтитул"/>
    <w:basedOn w:val="621"/>
    <w:qFormat/>
  </w:style>
  <w:style w:type="paragraph" w:styleId="666">
    <w:name w:val="Header"/>
    <w:basedOn w:val="621"/>
    <w:link w:val="644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667">
    <w:name w:val="Footer"/>
    <w:basedOn w:val="621"/>
    <w:link w:val="645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668">
    <w:name w:val="footnote text"/>
    <w:basedOn w:val="621"/>
    <w:link w:val="648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669">
    <w:name w:val="endnote text"/>
    <w:basedOn w:val="621"/>
    <w:link w:val="651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670">
    <w:name w:val="toc 1"/>
    <w:basedOn w:val="621"/>
    <w:next w:val="621"/>
    <w:uiPriority w:val="39"/>
    <w:unhideWhenUsed/>
    <w:pPr>
      <w:ind w:left="0" w:right="0" w:firstLine="0"/>
      <w:spacing w:before="0" w:after="57"/>
    </w:pPr>
  </w:style>
  <w:style w:type="paragraph" w:styleId="671">
    <w:name w:val="toc 2"/>
    <w:basedOn w:val="621"/>
    <w:next w:val="621"/>
    <w:uiPriority w:val="39"/>
    <w:unhideWhenUsed/>
    <w:pPr>
      <w:ind w:left="283" w:right="0" w:firstLine="0"/>
      <w:spacing w:before="0" w:after="57"/>
    </w:pPr>
  </w:style>
  <w:style w:type="paragraph" w:styleId="672">
    <w:name w:val="toc 3"/>
    <w:basedOn w:val="621"/>
    <w:next w:val="621"/>
    <w:uiPriority w:val="39"/>
    <w:unhideWhenUsed/>
    <w:pPr>
      <w:ind w:left="567" w:right="0" w:firstLine="0"/>
      <w:spacing w:before="0" w:after="57"/>
    </w:pPr>
  </w:style>
  <w:style w:type="paragraph" w:styleId="673">
    <w:name w:val="toc 4"/>
    <w:basedOn w:val="621"/>
    <w:next w:val="621"/>
    <w:uiPriority w:val="39"/>
    <w:unhideWhenUsed/>
    <w:pPr>
      <w:ind w:left="850" w:right="0" w:firstLine="0"/>
      <w:spacing w:before="0" w:after="57"/>
    </w:pPr>
  </w:style>
  <w:style w:type="paragraph" w:styleId="674">
    <w:name w:val="toc 5"/>
    <w:basedOn w:val="621"/>
    <w:next w:val="621"/>
    <w:uiPriority w:val="39"/>
    <w:unhideWhenUsed/>
    <w:pPr>
      <w:ind w:left="1134" w:right="0" w:firstLine="0"/>
      <w:spacing w:before="0" w:after="57"/>
    </w:pPr>
  </w:style>
  <w:style w:type="paragraph" w:styleId="675">
    <w:name w:val="toc 6"/>
    <w:basedOn w:val="621"/>
    <w:next w:val="621"/>
    <w:uiPriority w:val="39"/>
    <w:unhideWhenUsed/>
    <w:pPr>
      <w:ind w:left="1417" w:right="0" w:firstLine="0"/>
      <w:spacing w:before="0" w:after="57"/>
    </w:pPr>
  </w:style>
  <w:style w:type="paragraph" w:styleId="676">
    <w:name w:val="toc 7"/>
    <w:basedOn w:val="621"/>
    <w:next w:val="621"/>
    <w:uiPriority w:val="39"/>
    <w:unhideWhenUsed/>
    <w:pPr>
      <w:ind w:left="1701" w:right="0" w:firstLine="0"/>
      <w:spacing w:before="0" w:after="57"/>
    </w:pPr>
  </w:style>
  <w:style w:type="paragraph" w:styleId="677">
    <w:name w:val="toc 8"/>
    <w:basedOn w:val="621"/>
    <w:next w:val="621"/>
    <w:uiPriority w:val="39"/>
    <w:unhideWhenUsed/>
    <w:pPr>
      <w:ind w:left="1984" w:right="0" w:firstLine="0"/>
      <w:spacing w:before="0" w:after="57"/>
    </w:pPr>
  </w:style>
  <w:style w:type="paragraph" w:styleId="678">
    <w:name w:val="toc 9"/>
    <w:basedOn w:val="621"/>
    <w:next w:val="621"/>
    <w:uiPriority w:val="39"/>
    <w:unhideWhenUsed/>
    <w:pPr>
      <w:ind w:left="2268" w:right="0" w:firstLine="0"/>
      <w:spacing w:before="0" w:after="57"/>
    </w:pPr>
  </w:style>
  <w:style w:type="paragraph" w:styleId="679">
    <w:name w:val="Index Heading"/>
    <w:basedOn w:val="656"/>
  </w:style>
  <w:style w:type="paragraph" w:styleId="680">
    <w:name w:val="TOC Heading"/>
    <w:uiPriority w:val="39"/>
    <w:unhideWhenUsed/>
    <w:qFormat/>
    <w:pPr>
      <w:jc w:val="left"/>
      <w:spacing w:before="0" w:beforeAutospacing="0" w:after="200" w:afterAutospacing="0" w:line="276" w:lineRule="auto"/>
      <w:widowControl/>
    </w:pPr>
    <w:rPr>
      <w:rFonts w:ascii="Arial" w:hAnsi="Arial" w:eastAsia="Arial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81">
    <w:name w:val="table of figures"/>
    <w:basedOn w:val="621"/>
    <w:next w:val="621"/>
    <w:uiPriority w:val="99"/>
    <w:unhideWhenUsed/>
    <w:pPr>
      <w:spacing w:before="0" w:after="0" w:afterAutospacing="0"/>
    </w:pPr>
  </w:style>
  <w:style w:type="paragraph" w:styleId="682">
    <w:name w:val="No Spacing"/>
    <w:basedOn w:val="621"/>
    <w:uiPriority w:val="1"/>
    <w:qFormat/>
    <w:pPr>
      <w:spacing w:before="0" w:after="0" w:line="240" w:lineRule="auto"/>
    </w:pPr>
  </w:style>
  <w:style w:type="paragraph" w:styleId="683">
    <w:name w:val="List Paragraph"/>
    <w:basedOn w:val="621"/>
    <w:uiPriority w:val="34"/>
    <w:qFormat/>
    <w:pPr>
      <w:contextualSpacing/>
      <w:ind w:left="720"/>
      <w:spacing w:before="0" w:after="200"/>
    </w:pPr>
  </w:style>
  <w:style w:type="numbering" w:styleId="684" w:default="1">
    <w:name w:val="No List"/>
    <w:uiPriority w:val="99"/>
    <w:semiHidden/>
    <w:unhideWhenUsed/>
    <w:qFormat/>
  </w:style>
  <w:style w:type="table" w:styleId="685">
    <w:name w:val="Table Grid"/>
    <w:basedOn w:val="81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Table Grid Light"/>
    <w:basedOn w:val="81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Plain Table 1"/>
    <w:basedOn w:val="81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688">
    <w:name w:val="Plain Table 2"/>
    <w:basedOn w:val="81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689">
    <w:name w:val="Plain Table 3"/>
    <w:basedOn w:val="8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690">
    <w:name w:val="Plain Table 4"/>
    <w:basedOn w:val="8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691">
    <w:name w:val="Plain Table 5"/>
    <w:basedOn w:val="8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2">
    <w:name w:val="Grid Table 1 Light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3">
    <w:name w:val="Grid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4">
    <w:name w:val="Grid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5">
    <w:name w:val="Grid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6">
    <w:name w:val="Grid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7">
    <w:name w:val="Grid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8">
    <w:name w:val="Grid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9">
    <w:name w:val="Grid Table 2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1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2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3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4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5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6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1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2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3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4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5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6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4"/>
    <w:basedOn w:val="8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14">
    <w:name w:val="Grid Table 4 - Accent 1"/>
    <w:basedOn w:val="8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febf6" w:themeFill="accent1" w:themeFillTint="32"/>
      </w:tcPr>
    </w:tblStylePr>
    <w:tblStylePr w:type="band1Vert">
      <w:rPr>
        <w:sz w:val="22"/>
      </w:rPr>
      <w:tcPr>
        <w:shd w:val="clear" w:color="ffffff" w:fill="df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715">
    <w:name w:val="Grid Table 4 - Accent 2"/>
    <w:basedOn w:val="8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716">
    <w:name w:val="Grid Table 4 - Accent 3"/>
    <w:basedOn w:val="8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717">
    <w:name w:val="Grid Table 4 - Accent 4"/>
    <w:basedOn w:val="8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718">
    <w:name w:val="Grid Table 4 - Accent 5"/>
    <w:basedOn w:val="8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719">
    <w:name w:val="Grid Table 4 - Accent 6"/>
    <w:basedOn w:val="81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720">
    <w:name w:val="Grid Table 5 Dark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721">
    <w:name w:val="Grid Table 5 Dark- Accent 1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4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727">
    <w:name w:val="Grid Table 6 Colorful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728">
    <w:name w:val="Grid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317bba" w:themeColor="accent1" w:themeTint="80" w:themeShade="95"/>
        <w:sz w:val="22"/>
      </w:rPr>
    </w:tblStylePr>
  </w:style>
  <w:style w:type="table" w:styleId="729">
    <w:name w:val="Grid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730">
    <w:name w:val="Grid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606060" w:themeColor="accent3" w:themeTint="FE" w:themeShade="95"/>
        <w:sz w:val="22"/>
      </w:rPr>
    </w:tblStylePr>
  </w:style>
  <w:style w:type="table" w:styleId="731">
    <w:name w:val="Grid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732">
    <w:name w:val="Grid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733">
    <w:name w:val="Grid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734">
    <w:name w:val="Grid Table 7 Colorful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"/>
    <w:basedOn w:val="8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1"/>
    <w:basedOn w:val="8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2"/>
    <w:basedOn w:val="8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3"/>
    <w:basedOn w:val="8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4"/>
    <w:basedOn w:val="8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5"/>
    <w:basedOn w:val="8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6"/>
    <w:basedOn w:val="8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2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49">
    <w:name w:val="List Table 2 - Accent 1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50">
    <w:name w:val="List Table 2 - Accent 2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51">
    <w:name w:val="List Table 2 - Accent 3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52">
    <w:name w:val="List Table 2 - Accent 4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53">
    <w:name w:val="List Table 2 - Accent 5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54">
    <w:name w:val="List Table 2 - Accent 6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55">
    <w:name w:val="List Table 3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6">
    <w:name w:val="List Table 3 - Accent 1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7">
    <w:name w:val="List Table 3 - Accent 2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8">
    <w:name w:val="List Table 3 - Accent 3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9">
    <w:name w:val="List Table 3 - Accent 4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0">
    <w:name w:val="List Table 3 - Accent 5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eab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1">
    <w:name w:val="List Table 3 - Accent 6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ad08f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2">
    <w:name w:val="List Table 4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3">
    <w:name w:val="List Table 4 - Accent 1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4">
    <w:name w:val="List Table 4 - Accent 2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5">
    <w:name w:val="List Table 4 - Accent 3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6">
    <w:name w:val="List Table 4 - Accent 4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7">
    <w:name w:val="List Table 4 - Accent 5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8">
    <w:name w:val="List Table 4 - Accent 6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9">
    <w:name w:val="List Table 5 Dark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0">
    <w:name w:val="List Table 5 Dark - Accent 1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1">
    <w:name w:val="List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2">
    <w:name w:val="List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3">
    <w:name w:val="List Table 5 Dark - Accent 4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4">
    <w:name w:val="List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5">
    <w:name w:val="List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6">
    <w:name w:val="List Table 6 Colorful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777">
    <w:name w:val="List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8">
    <w:name w:val="List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779">
    <w:name w:val="List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780">
    <w:name w:val="List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781">
    <w:name w:val="List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782">
    <w:name w:val="List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783">
    <w:name w:val="List Table 7 Colorful"/>
    <w:basedOn w:val="8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784">
    <w:name w:val="List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785">
    <w:name w:val="List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786">
    <w:name w:val="List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787">
    <w:name w:val="List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788">
    <w:name w:val="List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789">
    <w:name w:val="List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790">
    <w:name w:val="Lined - Accent"/>
    <w:basedOn w:val="8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791">
    <w:name w:val="Lined - Accent 1"/>
    <w:basedOn w:val="8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792">
    <w:name w:val="Lined - Accent 2"/>
    <w:basedOn w:val="8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793">
    <w:name w:val="Lined - Accent 3"/>
    <w:basedOn w:val="8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794">
    <w:name w:val="Lined - Accent 4"/>
    <w:basedOn w:val="8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795">
    <w:name w:val="Lined - Accent 5"/>
    <w:basedOn w:val="8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796">
    <w:name w:val="Lined - Accent 6"/>
    <w:basedOn w:val="81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797">
    <w:name w:val="Bordered &amp; Lined - Accent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798">
    <w:name w:val="Bordered &amp; Lined - Accent 1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799">
    <w:name w:val="Bordered &amp; Lined - Accent 2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800">
    <w:name w:val="Bordered &amp; Lined - Accent 3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801">
    <w:name w:val="Bordered &amp; Lined - Accent 4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802">
    <w:name w:val="Bordered &amp; Lined - Accent 5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803">
    <w:name w:val="Bordered &amp; Lined - Accent 6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804">
    <w:name w:val="Bordered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05">
    <w:name w:val="Bordered - Accent 1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6">
    <w:name w:val="Bordered - Accent 2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07">
    <w:name w:val="Bordered - Accent 3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08">
    <w:name w:val="Bordered - Accent 4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09">
    <w:name w:val="Bordered - Accent 5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10">
    <w:name w:val="Bordered - Accent 6"/>
    <w:basedOn w:val="81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11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senskaya_ea</cp:lastModifiedBy>
  <cp:revision>6</cp:revision>
  <dcterms:modified xsi:type="dcterms:W3CDTF">2026-11-05T06:26:34Z</dcterms:modified>
</cp:coreProperties>
</file>